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 xml:space="preserve">附件1 </w:t>
      </w:r>
    </w:p>
    <w:p>
      <w:pPr>
        <w:widowControl/>
        <w:jc w:val="center"/>
        <w:rPr>
          <w:rFonts w:hint="eastAsia" w:ascii="方正小标宋简体" w:hAnsi="宋体" w:eastAsia="方正小标宋简体" w:cs="Arial"/>
          <w:kern w:val="0"/>
          <w:sz w:val="32"/>
          <w:szCs w:val="32"/>
        </w:rPr>
      </w:pPr>
      <w:r>
        <w:rPr>
          <w:rFonts w:hint="default" w:ascii="方正小标宋简体" w:hAnsi="宋体" w:eastAsia="方正小标宋简体" w:cs="Arial"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年度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  <w:lang w:val="en-US" w:eastAsia="zh-CN"/>
        </w:rPr>
        <w:t>全省煤矿安全培训考试机构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考官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  <w:lang w:val="en-US" w:eastAsia="zh-CN"/>
        </w:rPr>
        <w:t>和系统网络管理员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培训报名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  <w:lang w:val="en-US" w:eastAsia="zh-CN"/>
        </w:rPr>
        <w:t>回执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表</w:t>
      </w:r>
    </w:p>
    <w:p>
      <w:pPr>
        <w:widowControl/>
        <w:ind w:firstLine="1400" w:firstLineChars="50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煤矿安全培训考试机构</w:t>
      </w:r>
      <w:r>
        <w:rPr>
          <w:rFonts w:hint="eastAsia" w:ascii="宋体" w:hAnsi="宋体" w:cs="Arial"/>
          <w:kern w:val="0"/>
          <w:sz w:val="28"/>
          <w:szCs w:val="28"/>
        </w:rPr>
        <w:t xml:space="preserve">：      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Arial"/>
          <w:kern w:val="0"/>
          <w:sz w:val="28"/>
          <w:szCs w:val="28"/>
        </w:rPr>
        <w:t xml:space="preserve">                   时间：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kern w:val="0"/>
          <w:sz w:val="28"/>
          <w:szCs w:val="28"/>
        </w:rPr>
        <w:t>年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kern w:val="0"/>
          <w:sz w:val="28"/>
          <w:szCs w:val="28"/>
        </w:rPr>
        <w:t>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kern w:val="0"/>
          <w:sz w:val="28"/>
          <w:szCs w:val="28"/>
        </w:rPr>
        <w:t>日</w:t>
      </w:r>
    </w:p>
    <w:tbl>
      <w:tblPr>
        <w:tblStyle w:val="3"/>
        <w:tblW w:w="12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2"/>
        <w:gridCol w:w="1560"/>
        <w:gridCol w:w="708"/>
        <w:gridCol w:w="1560"/>
        <w:gridCol w:w="3543"/>
        <w:gridCol w:w="141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sz w:val="20"/>
                <w:szCs w:val="20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姓名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培训类别（考官、系统</w:t>
            </w:r>
            <w:r>
              <w:rPr>
                <w:rFonts w:hint="eastAsia" w:ascii="黑体" w:hAnsi="黑体" w:eastAsia="黑体" w:cs="Arial"/>
                <w:kern w:val="0"/>
                <w:sz w:val="20"/>
                <w:szCs w:val="20"/>
                <w:lang w:val="en-US" w:eastAsia="zh-CN"/>
              </w:rPr>
              <w:t>网络</w:t>
            </w: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管理人员）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新训或复训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  <w:lang w:val="en-US" w:eastAsia="zh-CN"/>
              </w:rPr>
              <w:t>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color w:val="000000"/>
          <w:sz w:val="28"/>
          <w:szCs w:val="28"/>
        </w:rPr>
        <w:sectPr>
          <w:pgSz w:w="16838" w:h="11906" w:orient="landscape"/>
          <w:pgMar w:top="993" w:right="1440" w:bottom="1276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全省煤矿安全培训考试机构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考官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和系统网络管理员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资格审查登记表</w:t>
      </w:r>
    </w:p>
    <w:tbl>
      <w:tblPr>
        <w:tblStyle w:val="3"/>
        <w:tblW w:w="89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68"/>
        <w:gridCol w:w="662"/>
        <w:gridCol w:w="653"/>
        <w:gridCol w:w="550"/>
        <w:gridCol w:w="112"/>
        <w:gridCol w:w="1163"/>
        <w:gridCol w:w="1106"/>
        <w:gridCol w:w="28"/>
        <w:gridCol w:w="993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名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2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职 称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须贴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电话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7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7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培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训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7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培训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机构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6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   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主管部门或煤矿企业的意见</w:t>
            </w:r>
          </w:p>
        </w:tc>
        <w:tc>
          <w:tcPr>
            <w:tcW w:w="3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wordWrap w:val="0"/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  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发证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机关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审核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月   日</w:t>
            </w:r>
          </w:p>
        </w:tc>
      </w:tr>
    </w:tbl>
    <w:p>
      <w:pPr>
        <w:wordWrap w:val="0"/>
        <w:spacing w:line="600" w:lineRule="exact"/>
        <w:ind w:right="64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ind w:left="420"/>
        <w:jc w:val="center"/>
        <w:outlineLvl w:val="1"/>
        <w:rPr>
          <w:rFonts w:hint="eastAsia" w:ascii="方正小标宋简体" w:hAnsi="仿宋" w:eastAsia="方正小标宋简体" w:cs="黑体"/>
          <w:sz w:val="36"/>
          <w:szCs w:val="36"/>
        </w:rPr>
      </w:pPr>
      <w:r>
        <w:rPr>
          <w:rFonts w:hint="eastAsia" w:ascii="方正小标宋简体" w:hAnsi="仿宋" w:eastAsia="方正小标宋简体" w:cs="黑体"/>
          <w:sz w:val="36"/>
          <w:szCs w:val="36"/>
        </w:rPr>
        <w:t>委托培训协议书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委托方(以下称甲方)：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　　　</w:t>
      </w:r>
      <w:r>
        <w:rPr>
          <w:rFonts w:hint="eastAsia" w:ascii="仿宋" w:hAnsi="仿宋" w:eastAsia="仿宋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受托方(以下称乙方)： 云南省煤矿安全技术培训协会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进一步规范全省煤矿安全培训考试考核工作，切实加强煤矿安全培训考试机构监考人员（简称考官）队伍建设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经研究决定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举办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全省煤矿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和系统网络管理员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培训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黑体"/>
          <w:sz w:val="32"/>
          <w:szCs w:val="32"/>
        </w:rPr>
        <w:t>经双方商定，现就煤矿安全技术委托培训事宜达成协议如下：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一、委托培训对象</w:t>
      </w:r>
    </w:p>
    <w:p>
      <w:pPr>
        <w:ind w:firstLine="640" w:firstLineChars="200"/>
        <w:rPr>
          <w:rFonts w:hint="eastAsia" w:ascii="黑体" w:hAnsi="黑体" w:eastAsia="方正仿宋_GBK" w:cs="黑体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省煤矿安全培训考试机构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系统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网络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管理员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第一期：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日报到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第二期：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日报到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第三期：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日报到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本协议收培训费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黑体"/>
          <w:sz w:val="32"/>
          <w:szCs w:val="32"/>
        </w:rPr>
        <w:t>元/人（含教材费），食宿由协会统一安排，费用自理。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乙方按要求组织培训，并及时告知甲方培训时间、地点及相关事宜。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乙方按照相关法律法规要求，负责教材选定、课程设置、班主任指定、教师安排、培训档案管理等工作。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甲方按照乙方培训计划，按期、按时间派人员参训。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参加培训人员食宿由协会统一安排，集中管理；参加培训人员应自觉遵守培训各项制度规定和要求。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本协议的履行期间，如遇到不可抗力(如：战争、民众暴乱、骚动、火灾、水灾、地震或其他类似事件的干扰)，超出双方的控制能力，则无论哪一方都不应为这段时期内没有履约负责。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本协议通过双方商定达成，具有法律效力，均不得违约。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自本协议双方签字并签章之日起生效。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本协议未尽事宜，由双方本着友好协商的原则解决。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本协议一式两份，甲乙双方各执一份。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甲方(签字盖章)：          乙方(签字盖章)：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联系人：                 联系人：刘鸿俊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联系电话：                联系电话：13987155261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黑体"/>
          <w:sz w:val="32"/>
          <w:szCs w:val="32"/>
        </w:rPr>
        <w:t xml:space="preserve">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 xml:space="preserve">  年   月   日       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 xml:space="preserve">  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15日</w:t>
      </w:r>
    </w:p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spacing w:after="157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2年度全省煤矿安全培训考试机构考官和系统网络管理员</w:t>
      </w:r>
      <w:r>
        <w:rPr>
          <w:rFonts w:hint="eastAsia" w:ascii="黑体" w:hAnsi="黑体" w:eastAsia="黑体" w:cs="黑体"/>
          <w:sz w:val="32"/>
          <w:szCs w:val="32"/>
        </w:rPr>
        <w:t>送培单位名单</w:t>
      </w:r>
    </w:p>
    <w:tbl>
      <w:tblPr>
        <w:tblStyle w:val="4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云南省煤矿安全技术培训中心考试中心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云南煤矿安全技术中心考试点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红河州煤矿安全技术考试点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富源县能源局安全技术考试点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华坪县煤矿安全技术考试点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云南中杨安全培训有限公司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曲靖市中小企业生产力促进中心考试点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宣威市煤矿安全技术考试点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楚雄州煤矿安全技术考试点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一平浪煤矿安全技术考试点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后所煤矿安全技术考试点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兴云煤矿安全技术考试点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恩洪煤矿安全技术考试点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田坝煤矿安全技术考试点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羊场煤矿安全技术考试点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华能云南滇东能源有限责任公司煤矿安全技术考试点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昭通云岭创业煤矿安全技术考试点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普洱市煤矿安全技术考试点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云南东源镇雄煤业有限公司安全技术考试点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镇雄县煤矿安全技术考试点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云南能投威信煤炭有限公司安全技术考试点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昆明煤炭科学研究所煤矿安全技术考试点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云南陆东煤矿有限公司安全技术考试点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云南源能矿山建设有限公司职工教育考试点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师宗县能源局煤矿安全技术考试点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麒麟区煤矿安全技术考试点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4"/>
              </w:tabs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小龙潭矿务局煤矿安全技术考试点（露天）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云南先锋煤业开发有限公司煤矿安全技术考试点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（露天）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云南可保煤矿有限公司安全技术考试点（露天）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文山州煤矿安全技术考试点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龙潭田煤矿安全技术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山心村煤矿安全技术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镇雄县鑫源煤矿安全技术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云南宏发煤业集团有限公司煤矿安全技术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镇雄县久源煤矿有限责任公司煤矿安全技术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宣威发电选煤有限责任公司煤矿安全技术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富源县雄达煤业有限公司煤矿安全技术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云南湾田煤业集团有限公司煤矿安全技术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富源县大格煤业有限公司煤矿安全技术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富源县东南矿业有限公司煤矿安全技术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富源龙腾煤业有限公司煤矿安全技术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富源县鑫帝矿业有限公司煤矿安全技术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文山州煤业有限责任公司普阳煤矿安全技术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石槽河煤矿安全技术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富源县小凹子煤业有限公司煤矿安全技术培训中心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镇雄县赵院煤矿有限责任公司煤矿安全技术培训中心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绥江县板栗煤业有限公司煤矿安全技术培训中心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楚雄州吕合煤业有限责任公司长坡煤矿安全技术培训中心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宣威市银鑫煤业有限公司宣威市宝山镇宝达煤矿安全技术培训中心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宣威市皂卫矿业有限责任公司皂卫煤矿安全技术培训中心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罗平县鑫鑫经贸有限责任公司大麦子山煤矿安全技术培训中心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富源县龙蟒矿产品有限责任公司煤矿安全技术培训中心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云南四方田矿业有限公司煤矿安全技术培训中心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富源老牛坡煤业有限公司煤矿安全技术培训中心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富源县庆云煤业有限公司煤矿安全技术培训中心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富源县打磨塘煤业有限公司煤矿安全技术培训中心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富源吉通祥安煤业有限公司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泸西县顺鸿煤业有限公司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富源县新华煤业有限公司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云南凯迪煤业集团墨红镇德兴煤矿有限公司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富源县色水煤业有限公司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3401FF-E628-4E33-9E2E-380E500EE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7FAFB4-5401-4AEE-A617-1543945F324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ABDF545-E528-4292-B5F1-386002E0B5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A13AA1-8965-4A0F-BB69-B5DB30BF82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Mpjcyk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WE2ZGZhZDg3MTgxOTAxYmM0ZDYxYjRjMzE4MWIifQ=="/>
  </w:docVars>
  <w:rsids>
    <w:rsidRoot w:val="00000000"/>
    <w:rsid w:val="0FE3599A"/>
    <w:rsid w:val="2D6A745E"/>
    <w:rsid w:val="6EA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1136</Words>
  <Characters>1201</Characters>
  <Lines>0</Lines>
  <Paragraphs>0</Paragraphs>
  <TotalTime>0</TotalTime>
  <ScaleCrop>false</ScaleCrop>
  <LinksUpToDate>false</LinksUpToDate>
  <CharactersWithSpaces>1354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2022-07-12T07:27:00Z</dcterms:created>
  <dc:creator>ASUS</dc:creator>
  <cp:lastModifiedBy>ASUS</cp:lastModifiedBy>
  <dcterms:modified xsi:type="dcterms:W3CDTF">2022-11-04T02:45:10Z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E01EBAA80C7B46F5BE9FFA069FEF4B3C</vt:lpwstr>
  </property>
</Properties>
</file>